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63" w:rsidRPr="0002074F" w:rsidRDefault="004662A1" w:rsidP="0002074F">
      <w:pPr>
        <w:pStyle w:val="Title"/>
      </w:pPr>
      <w:bookmarkStart w:id="0" w:name="_GoBack"/>
      <w:bookmarkEnd w:id="0"/>
      <w:r>
        <w:t xml:space="preserve">1δ. </w:t>
      </w:r>
      <w:r w:rsidR="00333E63" w:rsidRPr="0002074F">
        <w:t xml:space="preserve">Δήλωση ορισμού υπευθύνου λογαριασμού </w:t>
      </w:r>
    </w:p>
    <w:p w:rsidR="00333E63" w:rsidRDefault="00333E63">
      <w:r>
        <w:t xml:space="preserve">Οι υπογράφοντες την παρούσα …………………………………………………………………………………………………………………………………………………………………………………………………………………………………………………… </w:t>
      </w:r>
      <w:r>
        <w:rPr>
          <w:lang w:eastAsia="zh-CN" w:bidi="ar-AE"/>
        </w:rPr>
        <w:t>(εφεξής: «</w:t>
      </w:r>
      <w:r>
        <w:rPr>
          <w:b/>
          <w:lang w:eastAsia="zh-CN" w:bidi="ar-AE"/>
        </w:rPr>
        <w:t>οι Υπογράφοντες</w:t>
      </w:r>
      <w:r>
        <w:rPr>
          <w:lang w:eastAsia="zh-CN" w:bidi="ar-AE"/>
        </w:rPr>
        <w:t xml:space="preserve">») </w:t>
      </w:r>
      <w:r>
        <w:t>, δηλώνουν υπεύθυνα έναντι της Τράπεζας της Ελλάδος τα ακόλουθα:</w:t>
      </w:r>
    </w:p>
    <w:p w:rsidR="00333E63" w:rsidRDefault="00333E63" w:rsidP="002D4298">
      <w:pPr>
        <w:pStyle w:val="a"/>
        <w:numPr>
          <w:ilvl w:val="0"/>
          <w:numId w:val="1"/>
        </w:numPr>
        <w:ind w:left="0" w:firstLine="0"/>
      </w:pPr>
      <w:r>
        <w:t>Το νομικό πρόσωπο με την επωνυμία ……………………………………</w:t>
      </w:r>
      <w:r w:rsidR="00F9081C">
        <w:t>…………………………………………………………………………………</w:t>
      </w:r>
      <w:r>
        <w:t>, το οποίο εδρεύει στο Δήμο ………………………….. οδός ………………………………...(εφεξής: «</w:t>
      </w:r>
      <w:r w:rsidRPr="002D4298">
        <w:rPr>
          <w:b/>
        </w:rPr>
        <w:t>ο Υπόλογος</w:t>
      </w:r>
      <w:r>
        <w:t xml:space="preserve"> </w:t>
      </w:r>
      <w:r>
        <w:rPr>
          <w:b/>
        </w:rPr>
        <w:t>Λογαριασμού</w:t>
      </w:r>
      <w:r>
        <w:t>») είναι υπόλογος διαχειριστής του υπ’αριθμ. …………………………………………………………………… λογαριασμού του έργου ……………………………………………………………………</w:t>
      </w:r>
      <w:r>
        <w:rPr>
          <w:rStyle w:val="FootnoteReference"/>
        </w:rPr>
        <w:footnoteReference w:id="1"/>
      </w:r>
      <w:r>
        <w:t xml:space="preserve"> που τηρείται στην Τράπεζα της Ελλάδος (εφεξής: «</w:t>
      </w:r>
      <w:r>
        <w:rPr>
          <w:b/>
        </w:rPr>
        <w:t>ο Λογαριασμός</w:t>
      </w:r>
      <w:r>
        <w:t>»). (στην περίπτωση που οι λογαριασμοί είναι περισσότεροι του ενός, τα στοιχεία τους, καθώς κ των αντίστοιχων έργων αναγράφονται σε συνημμένη, υπογεγραμμένη νομίμως, κατάσταση)</w:t>
      </w:r>
    </w:p>
    <w:p w:rsidR="00333E63" w:rsidRDefault="00333E63" w:rsidP="002E2A82">
      <w:pPr>
        <w:pStyle w:val="a"/>
        <w:numPr>
          <w:ilvl w:val="0"/>
          <w:numId w:val="1"/>
        </w:numPr>
        <w:ind w:left="0" w:firstLine="0"/>
      </w:pPr>
      <w:r>
        <w:t>Οι Υπογράφοντες εκπροσωπούν νομίμως τον Υπόλογο Λογαριασμού και πληρούνται όλες οι τυπικές, ουσιαστικές και διαδικαστικές προϋποθέσεις για την κατάρτιση της παρούσας.</w:t>
      </w:r>
    </w:p>
    <w:p w:rsidR="00333E63" w:rsidRDefault="00333E63" w:rsidP="002E2A82">
      <w:pPr>
        <w:pStyle w:val="a"/>
        <w:numPr>
          <w:ilvl w:val="0"/>
          <w:numId w:val="1"/>
        </w:numPr>
        <w:ind w:left="0" w:firstLine="0"/>
      </w:pPr>
      <w:r>
        <w:t>Ως υπεύθυνος για τη διαχείριση του Λογαριασμού («</w:t>
      </w:r>
      <w:r w:rsidRPr="00CF39FC">
        <w:rPr>
          <w:i/>
        </w:rPr>
        <w:t>υπεύθυνο</w:t>
      </w:r>
      <w:r>
        <w:rPr>
          <w:i/>
        </w:rPr>
        <w:t>ς</w:t>
      </w:r>
      <w:r w:rsidRPr="00CF39FC">
        <w:rPr>
          <w:i/>
        </w:rPr>
        <w:t xml:space="preserve"> λογαριασμού</w:t>
      </w:r>
      <w:r>
        <w:t>» με την έννοια του άρθρου 2 της υπ’ αριθμ. 44009/ΔΕ 5154/8.10.2013 απόφασης του Αναπληρωτή Υπουργού Οικονομικών και του Υπουργού Ανάπτυξης και Ανταγωνιστικότητας - ΦΕΚ Β 2595/15.10.2013) έχει οριστεί νομίμως από τον Υπόλογο Λογαριασμού αποκλειστικά ο ………………………………………………………………………………του …………………………………, κάτοικος ……………………………………………………………………….…………………………., κάτοχος του υπ’ αριθμ. …………………………………Δελτίου Αστυνομικής Ταυτότητας (εκδούσα αρχή: ………………………………….., ημερομηνία έκδοσης: …………………), με ΑΦΜ: ……………………………, ΔΟΥ ………………………………, (εφεξής: «</w:t>
      </w:r>
      <w:r>
        <w:rPr>
          <w:b/>
        </w:rPr>
        <w:t>ο Υπεύθυνος Λογαριασμού</w:t>
      </w:r>
      <w:r>
        <w:t>»), η αρμοδιότητα του οποίου ισχύει μέχρι …(ημ/νία παύσης υπευθύνου ή διαφορετικά έως μεταβολής)……………………………… ,</w:t>
      </w:r>
      <w:r w:rsidDel="00DC41C7">
        <w:t xml:space="preserve"> </w:t>
      </w:r>
    </w:p>
    <w:p w:rsidR="00333E63" w:rsidRDefault="00333E63" w:rsidP="002E2A82">
      <w:pPr>
        <w:pStyle w:val="a"/>
        <w:numPr>
          <w:ilvl w:val="0"/>
          <w:numId w:val="1"/>
        </w:numPr>
        <w:ind w:left="0" w:firstLine="0"/>
      </w:pPr>
      <w:r>
        <w:t xml:space="preserve">Ο Υπόλογος Λογαριασμού εξουσιοδοτεί τον Υπεύθυνο Λογαριασμού να κινεί τον Λογαριασμό και ιδίως να δίνει ηλεκτρονικά εντολές προς την Τράπεζα της Ελλάδος για τη διενέργεια εμβασμάτων από τον Λογαριασμό προς τραπεζικούς λογαριασμούς τρίτων που τηρούνται στην Ελλάδα και το εξωτερικό. </w:t>
      </w:r>
    </w:p>
    <w:p w:rsidR="00333E63" w:rsidRDefault="00333E63" w:rsidP="002E2A82">
      <w:pPr>
        <w:pStyle w:val="a"/>
        <w:numPr>
          <w:ilvl w:val="0"/>
          <w:numId w:val="1"/>
        </w:numPr>
        <w:ind w:left="0" w:firstLine="0"/>
      </w:pPr>
      <w:r>
        <w:t xml:space="preserve">Ο Υπεύθυνος Λογαριασμού θα προβαίνει σε κάθε ενέργεια που θα επιτρέπει την κίνηση του Λογαριασμού σύμφωνα με τους κανόνες χρήσης και ασφάλειας που καθορίζει κάθε φορά η Τράπεζα της Ελλάδος. Ιδίως, ο Υπεύθυνος Λογαριασμού θα παρουσιαστεί αυτοπροσώπως στην Τράπεζα της Ελλάδος </w:t>
      </w:r>
      <w:r>
        <w:lastRenderedPageBreak/>
        <w:t xml:space="preserve">προκειμένου να πιστοποιηθούν τα στοιχεία και η υπογραφή του και να παραλάβει κάθε στοιχείο ή συσκευή που είναι απαραίτητα για την ηλεκτρονική κίνηση του Λογαριασμού.  </w:t>
      </w:r>
    </w:p>
    <w:p w:rsidR="00333E63" w:rsidRDefault="00333E63" w:rsidP="002E2A82">
      <w:pPr>
        <w:pStyle w:val="a"/>
        <w:numPr>
          <w:ilvl w:val="0"/>
          <w:numId w:val="1"/>
        </w:numPr>
        <w:ind w:left="0" w:firstLine="0"/>
      </w:pPr>
      <w:r>
        <w:t xml:space="preserve">Σε περίπτωση που οριστεί από τον Υπόλογο Λογαριασμού άλλο φυσικό πρόσωπο για τη διαχείριση του Λογαριασμού ή παυθεί για οποιονδήποτε λόγο, οριστικά ή προσωρινά, η εξουσία του Υπεύθυνου Λογαριασμού να διαχειρίζεται τον Λογαριασμό, ο Υπόλογος Λογαριασμού θα γνωστοποιήσει εγγράφως τη μεταβολή χωρίς καθυστέρηση στην Τράπεζα της Ελλάδος και θα φροντίσει για την παράδοση κάθε στοιχείου ή συσκευής στην Τράπεζα της Ελλάδος που θα έχει παραδοθεί στον Υπεύθυνο Λογαριασμού για την κίνηση του Λογαριασμού. Μέχρι τη συντέλεση των ανωτέρω ενεργειών κάθε κίνηση του Λογαριασμού από τον Υπεύθυνο Λογαριασμού παραμένει έγκυρη και δεσμευτική για τον Υπόλογο Λογαριασμού. </w:t>
      </w:r>
    </w:p>
    <w:p w:rsidR="00333E63" w:rsidRDefault="00333E63" w:rsidP="002E2A82">
      <w:pPr>
        <w:pStyle w:val="a"/>
        <w:numPr>
          <w:ilvl w:val="0"/>
          <w:numId w:val="1"/>
        </w:numPr>
        <w:ind w:left="0" w:firstLine="0"/>
      </w:pPr>
      <w:r>
        <w:t>Η ανάκληση της εξουσιοδότησης που δίνεται με την παρούσα γίνεται μόνο με έγγραφη δήλωση του Υπολόγου Λογαριασμού προς την Τράπεζα της Ελλάδος με την οποία ανακαλείται η εξουσιοδότηση ή με την οποία εξουσιοδοτείται άλλο πρόσωπο για τη διαχείριση του Λογαριασμού. Μέχρι την περιέλευση τέτοιας δήλωσης στην Τράπεζα της Ελλάδος κάθε κίνηση του Λογαριασμού από τον Υπεύθυνο Λογαριασμού παραμένει έγκυρη και δεσμευτική για τον Υπόλογο Λογαριασμού.</w:t>
      </w:r>
    </w:p>
    <w:p w:rsidR="00333E63" w:rsidRDefault="00333E63" w:rsidP="002E2A82">
      <w:pPr>
        <w:pStyle w:val="a"/>
        <w:numPr>
          <w:ilvl w:val="0"/>
          <w:numId w:val="1"/>
        </w:numPr>
        <w:ind w:left="0" w:firstLine="0"/>
      </w:pPr>
      <w:r>
        <w:t>Σε περίπτωση απώλειας ή κλοπής ή καταστροφής των αναγκαίων για την κίνηση του Λογαριασμού στοιχείων ο Υπόλογος Λογαριασμού θα ενημερώσει αμελλητί εγγράφως την Τράπεζα της Ελλάδος.</w:t>
      </w:r>
    </w:p>
    <w:p w:rsidR="00333E63" w:rsidRDefault="00333E63" w:rsidP="002E2A82">
      <w:pPr>
        <w:pStyle w:val="a"/>
        <w:numPr>
          <w:ilvl w:val="0"/>
          <w:numId w:val="1"/>
        </w:numPr>
        <w:ind w:left="0" w:firstLine="0"/>
      </w:pPr>
      <w:r>
        <w:t xml:space="preserve">Σε περίπτωση κλεισίματος του Λογαριασμού ο Υπόλογος Λογαριασμού θα φροντίσει για την παράδοση κάθε στοιχείου ή συσκευής στην Τράπεζα της Ελλάδος που θα έχει παραδοθεί στον Υπεύθυνο Λογαριασμού για την κίνηση του Λογαριασμού. </w:t>
      </w:r>
    </w:p>
    <w:p w:rsidR="00333E63" w:rsidRDefault="00333E63" w:rsidP="002E2A82">
      <w:pPr>
        <w:pStyle w:val="a"/>
        <w:numPr>
          <w:ilvl w:val="0"/>
          <w:numId w:val="1"/>
        </w:numPr>
        <w:ind w:left="0" w:firstLine="0"/>
      </w:pPr>
      <w:r>
        <w:t>Στο περιθώριο της παρούσας εμπεριέχεται δείγμα υπογραφής του Υπεύθυνου Λογαριασμού. Η Τράπεζα της Ελλάδος δικαιούται να θεωρήσει το παραπάνω δείγμα υπογραφής αυθεντικό και κάθε υπογραφή που ομοιάζει προς το δείγμα αυτό ως προερχόμενη από τον Υπεύθυνο Λογαριασμού.</w:t>
      </w:r>
    </w:p>
    <w:p w:rsidR="00333E63" w:rsidRDefault="00333E63" w:rsidP="002E2A82">
      <w:pPr>
        <w:pStyle w:val="a"/>
        <w:numPr>
          <w:ilvl w:val="0"/>
          <w:numId w:val="1"/>
        </w:numPr>
        <w:ind w:left="0" w:firstLine="0"/>
      </w:pPr>
      <w:r>
        <w:t xml:space="preserve">Η Τράπεζα της Ελλάδος δικαιούται να μεταβάλλει οποτεδήποτε τους όρους χρήσης και ασφάλειας του Λογαριασμού. Επίσης, η Τράπεζα της Ελλάδος δικαιούται οποτεδήποτε αλλά ουδέποτε υποχρεούται να ζητεί πρόσθετα μέτρα πιστοποίησης της ταυτότητας του Υπεύθυνου Λογαριασμού και της νομιμότητας των εντολών του αναφορικά με τον Λογαριασμό. </w:t>
      </w:r>
    </w:p>
    <w:p w:rsidR="00333E63" w:rsidRDefault="00333E63" w:rsidP="002276E1">
      <w:pPr>
        <w:pStyle w:val="a"/>
        <w:jc w:val="right"/>
      </w:pPr>
      <w:r>
        <w:t xml:space="preserve">Αθήνα, [• ημερομηνία •] </w:t>
      </w:r>
    </w:p>
    <w:p w:rsidR="00333E63" w:rsidRDefault="00333E63" w:rsidP="002276E1">
      <w:pPr>
        <w:pStyle w:val="a"/>
        <w:jc w:val="center"/>
      </w:pPr>
      <w:r>
        <w:t>Για τον Υπόλογο Λογαριασμού</w:t>
      </w:r>
    </w:p>
    <w:sectPr w:rsidR="00333E63" w:rsidSect="00E1062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81" w:rsidRDefault="00044081" w:rsidP="002D4298">
      <w:pPr>
        <w:spacing w:after="0"/>
      </w:pPr>
      <w:r>
        <w:separator/>
      </w:r>
    </w:p>
  </w:endnote>
  <w:endnote w:type="continuationSeparator" w:id="0">
    <w:p w:rsidR="00044081" w:rsidRDefault="00044081" w:rsidP="002D4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C4" w:rsidRPr="002D3DC4" w:rsidRDefault="00044081">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left:0;text-align:left;margin-left:541.7pt;margin-top:782.95pt;width:29.6pt;height:17.75pt;z-index:1;visibility:visible;mso-wrap-style:square;mso-width-percent:50;mso-height-percent:50;mso-left-percent:-10001;mso-top-percent:-10001;mso-wrap-distance-left:9pt;mso-wrap-distance-top:0;mso-wrap-distance-right:9pt;mso-wrap-distance-bottom:0;mso-position-horizontal:absolute;mso-position-horizontal-relative:page;mso-position-vertical:absolute;mso-position-vertical-relative:page;mso-width-percent:50;mso-height-percent:5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" stroked="f" strokeweight=".5pt">
          <v:textbox style="mso-fit-shape-to-text:t" inset="0,,0">
            <w:txbxContent>
              <w:p w:rsidR="002D3DC4" w:rsidRPr="002D3DC4" w:rsidRDefault="002D3DC4">
                <w:pPr>
                  <w:spacing w:after="0"/>
                  <w:jc w:val="center"/>
                  <w:rPr>
                    <w:color w:val="0F243E"/>
                    <w:sz w:val="18"/>
                    <w:szCs w:val="18"/>
                  </w:rPr>
                </w:pPr>
                <w:r w:rsidRPr="002D3DC4">
                  <w:rPr>
                    <w:color w:val="0F243E"/>
                    <w:sz w:val="18"/>
                    <w:szCs w:val="18"/>
                  </w:rPr>
                  <w:fldChar w:fldCharType="begin"/>
                </w:r>
                <w:r w:rsidRPr="002D3DC4">
                  <w:rPr>
                    <w:color w:val="0F243E"/>
                    <w:sz w:val="18"/>
                    <w:szCs w:val="18"/>
                  </w:rPr>
                  <w:instrText xml:space="preserve"> PAGE  \* Arabic  \* MERGEFORMAT </w:instrText>
                </w:r>
                <w:r w:rsidRPr="002D3DC4">
                  <w:rPr>
                    <w:color w:val="0F243E"/>
                    <w:sz w:val="18"/>
                    <w:szCs w:val="18"/>
                  </w:rPr>
                  <w:fldChar w:fldCharType="separate"/>
                </w:r>
                <w:r w:rsidR="00686414">
                  <w:rPr>
                    <w:noProof/>
                    <w:color w:val="0F243E"/>
                    <w:sz w:val="18"/>
                    <w:szCs w:val="18"/>
                  </w:rPr>
                  <w:t>1</w:t>
                </w:r>
                <w:r w:rsidRPr="002D3DC4">
                  <w:rPr>
                    <w:color w:val="0F243E"/>
                    <w:sz w:val="18"/>
                    <w:szCs w:val="18"/>
                  </w:rPr>
                  <w:fldChar w:fldCharType="end"/>
                </w:r>
              </w:p>
            </w:txbxContent>
          </v:textbox>
          <w10:wrap anchorx="page" anchory="page"/>
        </v:shape>
      </w:pict>
    </w:r>
  </w:p>
  <w:p w:rsidR="002D3DC4" w:rsidRPr="002D3DC4" w:rsidRDefault="002D3DC4">
    <w:pPr>
      <w:pStyle w:val="Footer"/>
      <w:rPr>
        <w:i/>
        <w:sz w:val="18"/>
        <w:szCs w:val="18"/>
      </w:rPr>
    </w:pPr>
    <w:r w:rsidRPr="002D3DC4">
      <w:rPr>
        <w:i/>
        <w:sz w:val="18"/>
        <w:szCs w:val="18"/>
      </w:rPr>
      <w:t>1Δ_Δήλωση ορισμού</w:t>
    </w:r>
    <w:r w:rsidR="00686414">
      <w:rPr>
        <w:i/>
        <w:sz w:val="18"/>
        <w:szCs w:val="18"/>
      </w:rPr>
      <w:t xml:space="preserve"> υπευθύνου λογαριασμού(Ν.Π.)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81" w:rsidRDefault="00044081" w:rsidP="002D4298">
      <w:pPr>
        <w:spacing w:after="0"/>
      </w:pPr>
      <w:r>
        <w:separator/>
      </w:r>
    </w:p>
  </w:footnote>
  <w:footnote w:type="continuationSeparator" w:id="0">
    <w:p w:rsidR="00044081" w:rsidRDefault="00044081" w:rsidP="002D4298">
      <w:pPr>
        <w:spacing w:after="0"/>
      </w:pPr>
      <w:r>
        <w:continuationSeparator/>
      </w:r>
    </w:p>
  </w:footnote>
  <w:footnote w:id="1">
    <w:p w:rsidR="00333E63" w:rsidRDefault="00333E63">
      <w:pPr>
        <w:pStyle w:val="FootnoteText"/>
      </w:pPr>
      <w:r>
        <w:rPr>
          <w:rStyle w:val="FootnoteReference"/>
        </w:rPr>
        <w:footnoteRef/>
      </w:r>
      <w:r>
        <w:t xml:space="preserve"> </w:t>
      </w:r>
      <w:r w:rsidRPr="002D4298">
        <w:t>Εδώ θα χρειαστεί</w:t>
      </w:r>
      <w:r>
        <w:t xml:space="preserve"> προφανώς εξειδίκευση του λογαριασμού με όλα τα αναγκαία για την εξατομίκευσή του στοιχεία.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0587"/>
    <w:multiLevelType w:val="hybridMultilevel"/>
    <w:tmpl w:val="75BACB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74F"/>
    <w:rsid w:val="0002074F"/>
    <w:rsid w:val="00044081"/>
    <w:rsid w:val="0004712B"/>
    <w:rsid w:val="000506D2"/>
    <w:rsid w:val="000579A8"/>
    <w:rsid w:val="000A11F0"/>
    <w:rsid w:val="00100568"/>
    <w:rsid w:val="002249A3"/>
    <w:rsid w:val="002276E1"/>
    <w:rsid w:val="00252E9F"/>
    <w:rsid w:val="002D3DC4"/>
    <w:rsid w:val="002D4298"/>
    <w:rsid w:val="002E2A82"/>
    <w:rsid w:val="00325231"/>
    <w:rsid w:val="00333E63"/>
    <w:rsid w:val="003C70BF"/>
    <w:rsid w:val="003E5FFD"/>
    <w:rsid w:val="00434B2F"/>
    <w:rsid w:val="004662A1"/>
    <w:rsid w:val="004921DC"/>
    <w:rsid w:val="00521A2C"/>
    <w:rsid w:val="00613548"/>
    <w:rsid w:val="00661862"/>
    <w:rsid w:val="00663F62"/>
    <w:rsid w:val="00686414"/>
    <w:rsid w:val="006D047C"/>
    <w:rsid w:val="007902D9"/>
    <w:rsid w:val="008054DB"/>
    <w:rsid w:val="008A2A64"/>
    <w:rsid w:val="008B76F4"/>
    <w:rsid w:val="00A741EF"/>
    <w:rsid w:val="00A80CA3"/>
    <w:rsid w:val="00AB3D4A"/>
    <w:rsid w:val="00AB57F1"/>
    <w:rsid w:val="00B11106"/>
    <w:rsid w:val="00B56E7D"/>
    <w:rsid w:val="00B93333"/>
    <w:rsid w:val="00BD2CA6"/>
    <w:rsid w:val="00C85FDA"/>
    <w:rsid w:val="00CF1A50"/>
    <w:rsid w:val="00CF39FC"/>
    <w:rsid w:val="00D1304F"/>
    <w:rsid w:val="00D20112"/>
    <w:rsid w:val="00D24B2A"/>
    <w:rsid w:val="00DC2B9B"/>
    <w:rsid w:val="00DC41C7"/>
    <w:rsid w:val="00E1062B"/>
    <w:rsid w:val="00E32FE9"/>
    <w:rsid w:val="00E60C96"/>
    <w:rsid w:val="00F022CE"/>
    <w:rsid w:val="00F549B7"/>
    <w:rsid w:val="00F908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2B"/>
    <w:pPr>
      <w:spacing w:after="240"/>
      <w:jc w:val="both"/>
    </w:pPr>
    <w:rPr>
      <w:rFonts w:ascii="Cambria" w:hAnsi="Cambria"/>
      <w:sz w:val="24"/>
      <w:szCs w:val="22"/>
      <w:lang w:eastAsia="en-US"/>
    </w:rPr>
  </w:style>
  <w:style w:type="paragraph" w:styleId="Heading1">
    <w:name w:val="heading 1"/>
    <w:basedOn w:val="Normal"/>
    <w:next w:val="Normal"/>
    <w:link w:val="Heading1Char"/>
    <w:uiPriority w:val="99"/>
    <w:qFormat/>
    <w:rsid w:val="004921DC"/>
    <w:pPr>
      <w:keepNext/>
      <w:keepLines/>
      <w:spacing w:before="240" w:after="360"/>
      <w:jc w:val="center"/>
      <w:outlineLvl w:val="0"/>
    </w:pPr>
    <w:rPr>
      <w:rFonts w:eastAsia="Times New Roman"/>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21DC"/>
    <w:rPr>
      <w:rFonts w:ascii="Times New Roman" w:hAnsi="Times New Roman" w:cs="Times New Roman"/>
      <w:b/>
      <w:bCs/>
      <w:smallCaps/>
      <w:sz w:val="28"/>
      <w:szCs w:val="28"/>
    </w:rPr>
  </w:style>
  <w:style w:type="paragraph" w:styleId="ListParagraph">
    <w:name w:val="List Paragraph"/>
    <w:basedOn w:val="Normal"/>
    <w:uiPriority w:val="99"/>
    <w:qFormat/>
    <w:rsid w:val="003E5FFD"/>
    <w:pPr>
      <w:ind w:left="720"/>
    </w:pPr>
  </w:style>
  <w:style w:type="paragraph" w:styleId="Title">
    <w:name w:val="Title"/>
    <w:basedOn w:val="Normal"/>
    <w:next w:val="Normal"/>
    <w:link w:val="TitleChar"/>
    <w:uiPriority w:val="99"/>
    <w:qFormat/>
    <w:rsid w:val="0002074F"/>
    <w:pPr>
      <w:jc w:val="center"/>
    </w:pPr>
    <w:rPr>
      <w:b/>
      <w:smallCaps/>
      <w:sz w:val="28"/>
      <w:szCs w:val="28"/>
    </w:rPr>
  </w:style>
  <w:style w:type="character" w:customStyle="1" w:styleId="TitleChar">
    <w:name w:val="Title Char"/>
    <w:link w:val="Title"/>
    <w:uiPriority w:val="99"/>
    <w:locked/>
    <w:rsid w:val="0002074F"/>
    <w:rPr>
      <w:rFonts w:ascii="Cambria" w:hAnsi="Cambria" w:cs="Times New Roman"/>
      <w:b/>
      <w:smallCaps/>
      <w:sz w:val="28"/>
      <w:szCs w:val="28"/>
    </w:rPr>
  </w:style>
  <w:style w:type="paragraph" w:customStyle="1" w:styleId="a">
    <w:name w:val="ΒΑΣΙΚΟ ΜΕ ΑΡΙΘΜΗΣΗ"/>
    <w:basedOn w:val="Normal"/>
    <w:uiPriority w:val="99"/>
    <w:rsid w:val="00A80CA3"/>
    <w:pPr>
      <w:tabs>
        <w:tab w:val="left" w:pos="426"/>
      </w:tabs>
      <w:spacing w:before="240" w:after="320"/>
    </w:pPr>
    <w:rPr>
      <w:lang w:eastAsia="zh-CN" w:bidi="ar-AE"/>
    </w:rPr>
  </w:style>
  <w:style w:type="paragraph" w:styleId="FootnoteText">
    <w:name w:val="footnote text"/>
    <w:basedOn w:val="Normal"/>
    <w:link w:val="FootnoteTextChar"/>
    <w:uiPriority w:val="99"/>
    <w:semiHidden/>
    <w:rsid w:val="002D4298"/>
    <w:pPr>
      <w:spacing w:after="0"/>
    </w:pPr>
    <w:rPr>
      <w:sz w:val="20"/>
      <w:szCs w:val="20"/>
    </w:rPr>
  </w:style>
  <w:style w:type="character" w:customStyle="1" w:styleId="FootnoteTextChar">
    <w:name w:val="Footnote Text Char"/>
    <w:link w:val="FootnoteText"/>
    <w:uiPriority w:val="99"/>
    <w:semiHidden/>
    <w:locked/>
    <w:rsid w:val="002D4298"/>
    <w:rPr>
      <w:rFonts w:ascii="Cambria" w:hAnsi="Cambria" w:cs="Times New Roman"/>
      <w:sz w:val="20"/>
      <w:szCs w:val="20"/>
    </w:rPr>
  </w:style>
  <w:style w:type="character" w:styleId="FootnoteReference">
    <w:name w:val="footnote reference"/>
    <w:uiPriority w:val="99"/>
    <w:semiHidden/>
    <w:rsid w:val="002D4298"/>
    <w:rPr>
      <w:rFonts w:cs="Times New Roman"/>
      <w:vertAlign w:val="superscript"/>
    </w:rPr>
  </w:style>
  <w:style w:type="paragraph" w:styleId="BalloonText">
    <w:name w:val="Balloon Text"/>
    <w:basedOn w:val="Normal"/>
    <w:link w:val="BalloonTextChar"/>
    <w:uiPriority w:val="99"/>
    <w:semiHidden/>
    <w:rsid w:val="00663F62"/>
    <w:pPr>
      <w:spacing w:after="0"/>
    </w:pPr>
    <w:rPr>
      <w:rFonts w:ascii="Tahoma" w:hAnsi="Tahoma" w:cs="Tahoma"/>
      <w:sz w:val="16"/>
      <w:szCs w:val="16"/>
    </w:rPr>
  </w:style>
  <w:style w:type="character" w:customStyle="1" w:styleId="BalloonTextChar">
    <w:name w:val="Balloon Text Char"/>
    <w:link w:val="BalloonText"/>
    <w:uiPriority w:val="99"/>
    <w:semiHidden/>
    <w:locked/>
    <w:rsid w:val="00663F62"/>
    <w:rPr>
      <w:rFonts w:ascii="Tahoma" w:hAnsi="Tahoma" w:cs="Tahoma"/>
      <w:sz w:val="16"/>
      <w:szCs w:val="16"/>
    </w:rPr>
  </w:style>
  <w:style w:type="paragraph" w:styleId="Header">
    <w:name w:val="header"/>
    <w:basedOn w:val="Normal"/>
    <w:link w:val="HeaderChar"/>
    <w:uiPriority w:val="99"/>
    <w:unhideWhenUsed/>
    <w:rsid w:val="002D3DC4"/>
    <w:pPr>
      <w:tabs>
        <w:tab w:val="center" w:pos="4153"/>
        <w:tab w:val="right" w:pos="8306"/>
      </w:tabs>
    </w:pPr>
  </w:style>
  <w:style w:type="character" w:customStyle="1" w:styleId="HeaderChar">
    <w:name w:val="Header Char"/>
    <w:link w:val="Header"/>
    <w:uiPriority w:val="99"/>
    <w:rsid w:val="002D3DC4"/>
    <w:rPr>
      <w:rFonts w:ascii="Cambria" w:hAnsi="Cambria"/>
      <w:sz w:val="24"/>
      <w:szCs w:val="22"/>
      <w:lang w:eastAsia="en-US"/>
    </w:rPr>
  </w:style>
  <w:style w:type="paragraph" w:styleId="Footer">
    <w:name w:val="footer"/>
    <w:basedOn w:val="Normal"/>
    <w:link w:val="FooterChar"/>
    <w:uiPriority w:val="99"/>
    <w:unhideWhenUsed/>
    <w:rsid w:val="002D3DC4"/>
    <w:pPr>
      <w:tabs>
        <w:tab w:val="center" w:pos="4153"/>
        <w:tab w:val="right" w:pos="8306"/>
      </w:tabs>
    </w:pPr>
  </w:style>
  <w:style w:type="character" w:customStyle="1" w:styleId="FooterChar">
    <w:name w:val="Footer Char"/>
    <w:link w:val="Footer"/>
    <w:uiPriority w:val="99"/>
    <w:rsid w:val="002D3DC4"/>
    <w:rPr>
      <w:rFonts w:ascii="Cambria" w:hAnsi="Cambri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ΔΗΛΩΣΗ ΟΡΙΣΜΟΥ ΥΠΕΥΘΥΝΟΥ ΛΟΓΑΡΙΑΣΜΟΥ </vt:lpstr>
    </vt:vector>
  </TitlesOfParts>
  <Company>Grizli777</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ΟΡΙΣΜΟΥ ΥΠΕΥΘΥΝΟΥ ΛΟΓΑΡΙΑΣΜΟΥ </dc:title>
  <dc:subject/>
  <dc:creator>Antonios Papadimitropoulos</dc:creator>
  <cp:keywords/>
  <dc:description/>
  <cp:lastModifiedBy>Org</cp:lastModifiedBy>
  <cp:revision>8</cp:revision>
  <dcterms:created xsi:type="dcterms:W3CDTF">2014-09-23T12:10:00Z</dcterms:created>
  <dcterms:modified xsi:type="dcterms:W3CDTF">2017-01-27T11:48:00Z</dcterms:modified>
</cp:coreProperties>
</file>